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взаимодействия субъектов образовательного процесс а</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взаимодействия субъектов образовательного процесс 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«Технологии взаимодействия субъектов образовательного процесс 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взаимодействия субъектов образовательного процесс 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«Технологии взаимодействия субъектов образовательного процесс а» относится к обязательной части, является дисциплиной Блока Б1. «Дисциплины (модули)». Модуль " Взаимодействие субъектов образовательного процесса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Методическая деятельность преподавателя вуза в условиях модернизации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 Взаимодействие субъектов образовательного процесса в вузе"</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студентов с особыми потребностями</w:t>
            </w:r>
          </w:p>
          <w:p>
            <w:pPr>
              <w:jc w:val="center"/>
              <w:spacing w:after="0" w:line="240" w:lineRule="auto"/>
              <w:rPr>
                <w:sz w:val="22"/>
                <w:szCs w:val="22"/>
              </w:rPr>
            </w:pPr>
            <w:r>
              <w:rPr>
                <w:rFonts w:ascii="Times New Roman" w:hAnsi="Times New Roman" w:cs="Times New Roman"/>
                <w:color w:val="#000000"/>
                <w:sz w:val="22"/>
                <w:szCs w:val="22"/>
              </w:rPr>
              <w:t> Профессиональное становление студента вуза</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Компетентностный подход и проблемы взаимодействия в психолого-педагогическом обра- 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№2.Психолого-педагогические особенности профессиональной педагогической деятельности. Виды взаимодействия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Технологический подход и его особенно- сти в образовательной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Инновационные образовательные техно- логии Интенсивные технологии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Круглый стол. Психолого- педагогические особен-ности взаимодействия в процессе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Круглый стол. Обеспечивающие технологии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Технологии оценки образовательной результатив-ности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Конфликты в педагогической среде и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5. Имитационная игра. Технологии формирования имиджа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012.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Компетентностный подход и проблемы взаимодействия в психолого- педагогическом обра-зовании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образовательные парадигмы и компетентностный подход в психо-лого- педагогическом образовании. Психолого-педагогическая компетентность педагога. Метанавыки современного педагога. Стратегии деятельностного обучения. Организация образовательного процесса на основе опыта. Принципы одноконтурного, двухконтурного и дейтерообучения. Кооперативное обучение. Коллаборативное обучение. Рефлексивное обучение. Критичное обучение. Модели стилей обучения людей. Общее и специфическое в понятиях «взаимодействие», «общение», «деятельность». Типы и виды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№2.Психолого-педагогические особенности профессиональной педагогической деятельности. Виды взаимодействия в образовательном процессе.</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Ценностно-смысловые аспекты психолого-педагогической деятельности. Психолого- педагогические особенности профессиональной педагогической деятельности. Виды взаимодействия в образовательном процессе. Взаимодействие как парный процесс, как сотрудничество взрослого школьным, студенческим коллективом. Основные дидактические трудности педагогического взаимодействия и методы их преодоления. Формирование образа обучающего и обучаемого. Типологии участников образовательного процесса. Методика и этапы синтеза типологических моделей. Модели типов личности обучающихся. Прагматические аспекты использования типологий, обучающихся для повышения эффективности взаимодействия участников образовательного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Технологический подход и его особенно-сти в образовательной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целях, содержании и структуре педагогического образования. Концеп-ции, сущность и цели современного обучения. Ведущие факторы и показатели личностного развития. Основные принципы и закономерности личностно ориентированного образовательного процесса. Метод педагогического прогнозирования и его применение. Исследовательская образовательная модель Технологический подход и его особенности в образовательной сфере. Общая характеристика образовательных технологий. Понятие креативной метатехнологии личностно развивающего обучения. Составляющие образовательных технологий: методы, методики, средства и формы коллективного обучения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Инновационные образовательные техно-логии Интенсивные технологии обучения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образовательных технологий. Обзор современных образовательных тех- нологий. Психолого-педагогические возможности интенсивных технологий обучения. Цели и задачи интенсивных технологий. Психолого-педагогический потенциал интенсивных технологий. Маршрутная карта организации интенсивного взаимодействия. Виды интенсивных технологий, применяемых в образовательном процессе. Интеллект- карты. Информационный лабиринт (баскет-метод). Технологии анализа ситуаций. Виды ситуационного обучения. Традиционный анализ конкретных ситуаций. Применение технологии кейс-стадии при обучении. Метод микро ситуаций-казусов. Метод «Анализ инцидентов». Технология проигрывания ролей (инсценировки). Технология ролевой игры. Игровое проектирование в образовательном процессе. Тренинг — интерактивная технология обучения взаимодействию. Имитационные игры-симуляции или игры - «катастрофы». Мозговой штурм и его разновидности. Организация групповой работы участников взаимодействия. Обратная связь в интенсивных технологиях. Оценка эффективности интенсивных технологий. Игротехническая компетентность педагога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Круглый стол. Психолого-педагогические особен-ности взаимодействия в процессе обучения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Общение как вид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Интерактивная функция взаимодействия.</w:t>
            </w:r>
          </w:p>
          <w:p>
            <w:pPr>
              <w:jc w:val="both"/>
              <w:spacing w:after="0" w:line="240" w:lineRule="auto"/>
              <w:rPr>
                <w:sz w:val="24"/>
                <w:szCs w:val="24"/>
              </w:rPr>
            </w:pPr>
            <w:r>
              <w:rPr>
                <w:rFonts w:ascii="Times New Roman" w:hAnsi="Times New Roman" w:cs="Times New Roman"/>
                <w:color w:val="#000000"/>
                <w:sz w:val="24"/>
                <w:szCs w:val="24"/>
              </w:rPr>
              <w:t> 3.	Стратегии и тактики конструктивного взаимодействия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4.	Коммуникативная функция общения.</w:t>
            </w:r>
          </w:p>
          <w:p>
            <w:pPr>
              <w:jc w:val="both"/>
              <w:spacing w:after="0" w:line="240" w:lineRule="auto"/>
              <w:rPr>
                <w:sz w:val="24"/>
                <w:szCs w:val="24"/>
              </w:rPr>
            </w:pPr>
            <w:r>
              <w:rPr>
                <w:rFonts w:ascii="Times New Roman" w:hAnsi="Times New Roman" w:cs="Times New Roman"/>
                <w:color w:val="#000000"/>
                <w:sz w:val="24"/>
                <w:szCs w:val="24"/>
              </w:rPr>
              <w:t> 5.	Перцептивная функция взаимодействия.</w:t>
            </w:r>
          </w:p>
          <w:p>
            <w:pPr>
              <w:jc w:val="both"/>
              <w:spacing w:after="0" w:line="240" w:lineRule="auto"/>
              <w:rPr>
                <w:sz w:val="24"/>
                <w:szCs w:val="24"/>
              </w:rPr>
            </w:pPr>
            <w:r>
              <w:rPr>
                <w:rFonts w:ascii="Times New Roman" w:hAnsi="Times New Roman" w:cs="Times New Roman"/>
                <w:color w:val="#000000"/>
                <w:sz w:val="24"/>
                <w:szCs w:val="24"/>
              </w:rPr>
              <w:t> 6.	Модели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7.	Коммуникативные стили взаимодействия.</w:t>
            </w:r>
          </w:p>
          <w:p>
            <w:pPr>
              <w:jc w:val="both"/>
              <w:spacing w:after="0" w:line="240" w:lineRule="auto"/>
              <w:rPr>
                <w:sz w:val="24"/>
                <w:szCs w:val="24"/>
              </w:rPr>
            </w:pPr>
            <w:r>
              <w:rPr>
                <w:rFonts w:ascii="Times New Roman" w:hAnsi="Times New Roman" w:cs="Times New Roman"/>
                <w:color w:val="#000000"/>
                <w:sz w:val="24"/>
                <w:szCs w:val="24"/>
              </w:rPr>
              <w:t> 8.	Коммуникативные стратегии обучения.</w:t>
            </w:r>
          </w:p>
          <w:p>
            <w:pPr>
              <w:jc w:val="both"/>
              <w:spacing w:after="0" w:line="240" w:lineRule="auto"/>
              <w:rPr>
                <w:sz w:val="24"/>
                <w:szCs w:val="24"/>
              </w:rPr>
            </w:pPr>
            <w:r>
              <w:rPr>
                <w:rFonts w:ascii="Times New Roman" w:hAnsi="Times New Roman" w:cs="Times New Roman"/>
                <w:color w:val="#000000"/>
                <w:sz w:val="24"/>
                <w:szCs w:val="24"/>
              </w:rPr>
              <w:t> 9.	Невербальные средства межличностного взаимодействия.</w:t>
            </w:r>
          </w:p>
          <w:p>
            <w:pPr>
              <w:jc w:val="both"/>
              <w:spacing w:after="0" w:line="240" w:lineRule="auto"/>
              <w:rPr>
                <w:sz w:val="24"/>
                <w:szCs w:val="24"/>
              </w:rPr>
            </w:pPr>
            <w:r>
              <w:rPr>
                <w:rFonts w:ascii="Times New Roman" w:hAnsi="Times New Roman" w:cs="Times New Roman"/>
                <w:color w:val="#000000"/>
                <w:sz w:val="24"/>
                <w:szCs w:val="24"/>
              </w:rPr>
              <w:t> 10.	Модель ассертивного обучения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Круглый стол. Обеспечивающие технологии про- ектирования.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образовательное проектирование и виды проектов.</w:t>
            </w:r>
          </w:p>
          <w:p>
            <w:pPr>
              <w:jc w:val="both"/>
              <w:spacing w:after="0" w:line="240" w:lineRule="auto"/>
              <w:rPr>
                <w:sz w:val="24"/>
                <w:szCs w:val="24"/>
              </w:rPr>
            </w:pPr>
            <w:r>
              <w:rPr>
                <w:rFonts w:ascii="Times New Roman" w:hAnsi="Times New Roman" w:cs="Times New Roman"/>
                <w:color w:val="#000000"/>
                <w:sz w:val="24"/>
                <w:szCs w:val="24"/>
              </w:rPr>
              <w:t> 2.	 Образовательная технология разработки и реализации детских проектов.</w:t>
            </w:r>
          </w:p>
          <w:p>
            <w:pPr>
              <w:jc w:val="both"/>
              <w:spacing w:after="0" w:line="240" w:lineRule="auto"/>
              <w:rPr>
                <w:sz w:val="24"/>
                <w:szCs w:val="24"/>
              </w:rPr>
            </w:pPr>
            <w:r>
              <w:rPr>
                <w:rFonts w:ascii="Times New Roman" w:hAnsi="Times New Roman" w:cs="Times New Roman"/>
                <w:color w:val="#000000"/>
                <w:sz w:val="24"/>
                <w:szCs w:val="24"/>
              </w:rPr>
              <w:t> 3.	История создания метода проектов. Применение метода проектов на современном этапе.</w:t>
            </w:r>
          </w:p>
          <w:p>
            <w:pPr>
              <w:jc w:val="both"/>
              <w:spacing w:after="0" w:line="240" w:lineRule="auto"/>
              <w:rPr>
                <w:sz w:val="24"/>
                <w:szCs w:val="24"/>
              </w:rPr>
            </w:pPr>
            <w:r>
              <w:rPr>
                <w:rFonts w:ascii="Times New Roman" w:hAnsi="Times New Roman" w:cs="Times New Roman"/>
                <w:color w:val="#000000"/>
                <w:sz w:val="24"/>
                <w:szCs w:val="24"/>
              </w:rPr>
              <w:t> 4.	Управленческие технологии подготовки кадров для проектировочной деятельности.</w:t>
            </w:r>
          </w:p>
          <w:p>
            <w:pPr>
              <w:jc w:val="both"/>
              <w:spacing w:after="0" w:line="240" w:lineRule="auto"/>
              <w:rPr>
                <w:sz w:val="24"/>
                <w:szCs w:val="24"/>
              </w:rPr>
            </w:pPr>
            <w:r>
              <w:rPr>
                <w:rFonts w:ascii="Times New Roman" w:hAnsi="Times New Roman" w:cs="Times New Roman"/>
                <w:color w:val="#000000"/>
                <w:sz w:val="24"/>
                <w:szCs w:val="24"/>
              </w:rPr>
              <w:t> 5.	Технология формирования команды проектировщиков.</w:t>
            </w:r>
          </w:p>
          <w:p>
            <w:pPr>
              <w:jc w:val="both"/>
              <w:spacing w:after="0" w:line="240" w:lineRule="auto"/>
              <w:rPr>
                <w:sz w:val="24"/>
                <w:szCs w:val="24"/>
              </w:rPr>
            </w:pPr>
            <w:r>
              <w:rPr>
                <w:rFonts w:ascii="Times New Roman" w:hAnsi="Times New Roman" w:cs="Times New Roman"/>
                <w:color w:val="#000000"/>
                <w:sz w:val="24"/>
                <w:szCs w:val="24"/>
              </w:rPr>
              <w:t> 6.	Технология работы со специалистами по повышению уровня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7.	 Фандрайзинг.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Технологии оценки образовательной результатив-ности профессиональной деятельности педагога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Экспертно-оценочные технологии в труде педагога.</w:t>
            </w:r>
          </w:p>
          <w:p>
            <w:pPr>
              <w:jc w:val="both"/>
              <w:spacing w:after="0" w:line="240" w:lineRule="auto"/>
              <w:rPr>
                <w:sz w:val="24"/>
                <w:szCs w:val="24"/>
              </w:rPr>
            </w:pPr>
            <w:r>
              <w:rPr>
                <w:rFonts w:ascii="Times New Roman" w:hAnsi="Times New Roman" w:cs="Times New Roman"/>
                <w:color w:val="#000000"/>
                <w:sz w:val="24"/>
                <w:szCs w:val="24"/>
              </w:rPr>
              <w:t> 2.	Алгоритмизированный контроль знаний обучаемых. Мониторинг качества обра-зования</w:t>
            </w:r>
          </w:p>
          <w:p>
            <w:pPr>
              <w:jc w:val="both"/>
              <w:spacing w:after="0" w:line="240" w:lineRule="auto"/>
              <w:rPr>
                <w:sz w:val="24"/>
                <w:szCs w:val="24"/>
              </w:rPr>
            </w:pPr>
            <w:r>
              <w:rPr>
                <w:rFonts w:ascii="Times New Roman" w:hAnsi="Times New Roman" w:cs="Times New Roman"/>
                <w:color w:val="#000000"/>
                <w:sz w:val="24"/>
                <w:szCs w:val="24"/>
              </w:rPr>
              <w:t> 3.	Методы и технологии мониторинга.</w:t>
            </w:r>
          </w:p>
          <w:p>
            <w:pPr>
              <w:jc w:val="both"/>
              <w:spacing w:after="0" w:line="240" w:lineRule="auto"/>
              <w:rPr>
                <w:sz w:val="24"/>
                <w:szCs w:val="24"/>
              </w:rPr>
            </w:pPr>
            <w:r>
              <w:rPr>
                <w:rFonts w:ascii="Times New Roman" w:hAnsi="Times New Roman" w:cs="Times New Roman"/>
                <w:color w:val="#000000"/>
                <w:sz w:val="24"/>
                <w:szCs w:val="24"/>
              </w:rPr>
              <w:t> 4.	Диагностика компетенций в структуре образовательной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5.	Оценка личностных результатов.</w:t>
            </w:r>
          </w:p>
          <w:p>
            <w:pPr>
              <w:jc w:val="both"/>
              <w:spacing w:after="0" w:line="240" w:lineRule="auto"/>
              <w:rPr>
                <w:sz w:val="24"/>
                <w:szCs w:val="24"/>
              </w:rPr>
            </w:pPr>
            <w:r>
              <w:rPr>
                <w:rFonts w:ascii="Times New Roman" w:hAnsi="Times New Roman" w:cs="Times New Roman"/>
                <w:color w:val="#000000"/>
                <w:sz w:val="24"/>
                <w:szCs w:val="24"/>
              </w:rPr>
              <w:t> 6.	Оценка метапредметных результатов.</w:t>
            </w:r>
          </w:p>
          <w:p>
            <w:pPr>
              <w:jc w:val="both"/>
              <w:spacing w:after="0" w:line="240" w:lineRule="auto"/>
              <w:rPr>
                <w:sz w:val="24"/>
                <w:szCs w:val="24"/>
              </w:rPr>
            </w:pPr>
            <w:r>
              <w:rPr>
                <w:rFonts w:ascii="Times New Roman" w:hAnsi="Times New Roman" w:cs="Times New Roman"/>
                <w:color w:val="#000000"/>
                <w:sz w:val="24"/>
                <w:szCs w:val="24"/>
              </w:rPr>
              <w:t> 7.	Оценка предметных результатов.</w:t>
            </w:r>
          </w:p>
          <w:p>
            <w:pPr>
              <w:jc w:val="both"/>
              <w:spacing w:after="0" w:line="240" w:lineRule="auto"/>
              <w:rPr>
                <w:sz w:val="24"/>
                <w:szCs w:val="24"/>
              </w:rPr>
            </w:pPr>
            <w:r>
              <w:rPr>
                <w:rFonts w:ascii="Times New Roman" w:hAnsi="Times New Roman" w:cs="Times New Roman"/>
                <w:color w:val="#000000"/>
                <w:sz w:val="24"/>
                <w:szCs w:val="24"/>
              </w:rPr>
              <w:t> 8.	Технологии оценки качества профессиональной деятельности педагога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Конфликты в педагогической среде и практике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Типы и виды социальных конфликтов в педагогической среде.</w:t>
            </w:r>
          </w:p>
          <w:p>
            <w:pPr>
              <w:jc w:val="both"/>
              <w:spacing w:after="0" w:line="240" w:lineRule="auto"/>
              <w:rPr>
                <w:sz w:val="24"/>
                <w:szCs w:val="24"/>
              </w:rPr>
            </w:pPr>
            <w:r>
              <w:rPr>
                <w:rFonts w:ascii="Times New Roman" w:hAnsi="Times New Roman" w:cs="Times New Roman"/>
                <w:color w:val="#000000"/>
                <w:sz w:val="24"/>
                <w:szCs w:val="24"/>
              </w:rPr>
              <w:t> 2.	Причины конфликтов при взаимодействии в образовательном процессе. Динамика развития и анализ конфликта.</w:t>
            </w:r>
          </w:p>
          <w:p>
            <w:pPr>
              <w:jc w:val="both"/>
              <w:spacing w:after="0" w:line="240" w:lineRule="auto"/>
              <w:rPr>
                <w:sz w:val="24"/>
                <w:szCs w:val="24"/>
              </w:rPr>
            </w:pPr>
            <w:r>
              <w:rPr>
                <w:rFonts w:ascii="Times New Roman" w:hAnsi="Times New Roman" w:cs="Times New Roman"/>
                <w:color w:val="#000000"/>
                <w:sz w:val="24"/>
                <w:szCs w:val="24"/>
              </w:rPr>
              <w:t> 3.	Непредвиденные ситуации и сопротивление участников взаимодействия.</w:t>
            </w:r>
          </w:p>
          <w:p>
            <w:pPr>
              <w:jc w:val="both"/>
              <w:spacing w:after="0" w:line="240" w:lineRule="auto"/>
              <w:rPr>
                <w:sz w:val="24"/>
                <w:szCs w:val="24"/>
              </w:rPr>
            </w:pPr>
            <w:r>
              <w:rPr>
                <w:rFonts w:ascii="Times New Roman" w:hAnsi="Times New Roman" w:cs="Times New Roman"/>
                <w:color w:val="#000000"/>
                <w:sz w:val="24"/>
                <w:szCs w:val="24"/>
              </w:rPr>
              <w:t> 4.	Технологии и методы управления конфликтной ситуацией. Технология перегово-ров — эффективная стратегия разрешения конфликтов с участниками взаимодей-ствия.</w:t>
            </w:r>
          </w:p>
          <w:p>
            <w:pPr>
              <w:jc w:val="both"/>
              <w:spacing w:after="0" w:line="240" w:lineRule="auto"/>
              <w:rPr>
                <w:sz w:val="24"/>
                <w:szCs w:val="24"/>
              </w:rPr>
            </w:pPr>
            <w:r>
              <w:rPr>
                <w:rFonts w:ascii="Times New Roman" w:hAnsi="Times New Roman" w:cs="Times New Roman"/>
                <w:color w:val="#000000"/>
                <w:sz w:val="24"/>
                <w:szCs w:val="24"/>
              </w:rPr>
              <w:t> 5.	Эмоциональное насилие, агрессия и стресс в образовательном процессе. Управле-ние конфликтами и стрессами при взаимодействии в учебном процессе.</w:t>
            </w:r>
          </w:p>
          <w:p>
            <w:pPr>
              <w:jc w:val="both"/>
              <w:spacing w:after="0" w:line="240" w:lineRule="auto"/>
              <w:rPr>
                <w:sz w:val="24"/>
                <w:szCs w:val="24"/>
              </w:rPr>
            </w:pPr>
            <w:r>
              <w:rPr>
                <w:rFonts w:ascii="Times New Roman" w:hAnsi="Times New Roman" w:cs="Times New Roman"/>
                <w:color w:val="#000000"/>
                <w:sz w:val="24"/>
                <w:szCs w:val="24"/>
              </w:rPr>
              <w:t> 6.	Имаготерапия и развитие навыков саморегуляции.</w:t>
            </w:r>
          </w:p>
          <w:p>
            <w:pPr>
              <w:jc w:val="both"/>
              <w:spacing w:after="0" w:line="240" w:lineRule="auto"/>
              <w:rPr>
                <w:sz w:val="24"/>
                <w:szCs w:val="24"/>
              </w:rPr>
            </w:pPr>
            <w:r>
              <w:rPr>
                <w:rFonts w:ascii="Times New Roman" w:hAnsi="Times New Roman" w:cs="Times New Roman"/>
                <w:color w:val="#000000"/>
                <w:sz w:val="24"/>
                <w:szCs w:val="24"/>
              </w:rPr>
              <w:t> 7.	 Социально-психологический климат в образовательном учреждении. Влияние эмоций и настроения педагогов на социально-психологический климат.</w:t>
            </w:r>
          </w:p>
          <w:p>
            <w:pPr>
              <w:jc w:val="both"/>
              <w:spacing w:after="0" w:line="240" w:lineRule="auto"/>
              <w:rPr>
                <w:sz w:val="24"/>
                <w:szCs w:val="24"/>
              </w:rPr>
            </w:pPr>
            <w:r>
              <w:rPr>
                <w:rFonts w:ascii="Times New Roman" w:hAnsi="Times New Roman" w:cs="Times New Roman"/>
                <w:color w:val="#000000"/>
                <w:sz w:val="24"/>
                <w:szCs w:val="24"/>
              </w:rPr>
              <w:t> Сплоченность коллектива и навыки управления конфликтами.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5. Имитационная игра. Технологии формирования имиджа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Роль имиджа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Восприятие друг друга при взаимодействии.</w:t>
            </w:r>
          </w:p>
          <w:p>
            <w:pPr>
              <w:jc w:val="both"/>
              <w:spacing w:after="0" w:line="240" w:lineRule="auto"/>
              <w:rPr>
                <w:sz w:val="24"/>
                <w:szCs w:val="24"/>
              </w:rPr>
            </w:pPr>
            <w:r>
              <w:rPr>
                <w:rFonts w:ascii="Times New Roman" w:hAnsi="Times New Roman" w:cs="Times New Roman"/>
                <w:color w:val="#000000"/>
                <w:sz w:val="24"/>
                <w:szCs w:val="24"/>
              </w:rPr>
              <w:t> 3.	Стратегия самопрезентации как элемент позитивного имиджа педагога.</w:t>
            </w:r>
          </w:p>
          <w:p>
            <w:pPr>
              <w:jc w:val="both"/>
              <w:spacing w:after="0" w:line="240" w:lineRule="auto"/>
              <w:rPr>
                <w:sz w:val="24"/>
                <w:szCs w:val="24"/>
              </w:rPr>
            </w:pPr>
            <w:r>
              <w:rPr>
                <w:rFonts w:ascii="Times New Roman" w:hAnsi="Times New Roman" w:cs="Times New Roman"/>
                <w:color w:val="#000000"/>
                <w:sz w:val="24"/>
                <w:szCs w:val="24"/>
              </w:rPr>
              <w:t> 4.	Технологии формирования уверенности в себе и первое впечатление.</w:t>
            </w:r>
          </w:p>
          <w:p>
            <w:pPr>
              <w:jc w:val="both"/>
              <w:spacing w:after="0" w:line="240" w:lineRule="auto"/>
              <w:rPr>
                <w:sz w:val="24"/>
                <w:szCs w:val="24"/>
              </w:rPr>
            </w:pPr>
            <w:r>
              <w:rPr>
                <w:rFonts w:ascii="Times New Roman" w:hAnsi="Times New Roman" w:cs="Times New Roman"/>
                <w:color w:val="#000000"/>
                <w:sz w:val="24"/>
                <w:szCs w:val="24"/>
              </w:rPr>
              <w:t> 5.	Роль доверия в педагогической практике.</w:t>
            </w:r>
          </w:p>
          <w:p>
            <w:pPr>
              <w:jc w:val="both"/>
              <w:spacing w:after="0" w:line="240" w:lineRule="auto"/>
              <w:rPr>
                <w:sz w:val="24"/>
                <w:szCs w:val="24"/>
              </w:rPr>
            </w:pPr>
            <w:r>
              <w:rPr>
                <w:rFonts w:ascii="Times New Roman" w:hAnsi="Times New Roman" w:cs="Times New Roman"/>
                <w:color w:val="#000000"/>
                <w:sz w:val="24"/>
                <w:szCs w:val="24"/>
              </w:rPr>
              <w:t> 6.	Внешний вид успешного педагога. Технологии формирования репутации для профессионального становления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взаимодействия субъектов образовательного процесс а» / Шмачилина-Цибенко Светлана Витальевна.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Мякишева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https://urait.ru/bcode/450253</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https://urait.ru/bcode/452240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https://urait.ru/bcode/451619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дистанционного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Бухаркина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Кондакова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Ладыженская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Подгорная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https://urait.ru/bcode/449298</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https://urait.ru/bcode/455351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https://urait.ru/bcode/452318</w:t>
            </w:r>
            <w:r>
              <w:rPr/>
              <w:t xml:space="preserve"> </w:t>
            </w:r>
          </w:p>
        </w:tc>
      </w:tr>
      <w:tr>
        <w:trPr>
          <w:trHeight w:hRule="exact" w:val="390.872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2024-2025_ФГОС3++2024_Маг-ОФО-ПО(Иннов)(24)_plx_Технологии взаимодействия субъектов образовательного процесс а_Инновации в высшем образовании</dc:title>
  <dc:creator>FastReport.NET</dc:creator>
</cp:coreProperties>
</file>